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5F" w:rsidRPr="000B2D98" w:rsidRDefault="00A61E5F" w:rsidP="004E5FDB">
      <w:pPr>
        <w:spacing w:after="0"/>
        <w:jc w:val="both"/>
        <w:rPr>
          <w:rFonts w:ascii="Times New Roman" w:hAnsi="Times New Roman"/>
          <w:sz w:val="10"/>
        </w:rPr>
      </w:pPr>
    </w:p>
    <w:p w:rsidR="00A61E5F" w:rsidRPr="00A34D57" w:rsidRDefault="00F35B73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FINANČNÍ ÚŘAD PRO JIHOMORAVSKÝ KRAJ</w:t>
      </w:r>
    </w:p>
    <w:p w:rsidR="00F35B73" w:rsidRDefault="00F35B73" w:rsidP="00A61E5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F35B73">
        <w:rPr>
          <w:rFonts w:ascii="Arial" w:hAnsi="Arial" w:cs="Arial"/>
          <w:iCs/>
        </w:rPr>
        <w:t>nám. Svobody 4, 602 00 Brno</w:t>
      </w:r>
    </w:p>
    <w:p w:rsidR="00A61E5F" w:rsidRPr="006B0F6C" w:rsidRDefault="00A61E5F" w:rsidP="00A61E5F">
      <w:pPr>
        <w:pStyle w:val="Zhlav"/>
        <w:tabs>
          <w:tab w:val="left" w:pos="10773"/>
        </w:tabs>
        <w:jc w:val="center"/>
        <w:rPr>
          <w:i/>
          <w:iCs/>
        </w:rPr>
      </w:pPr>
      <w:r w:rsidRPr="00A34D57">
        <w:rPr>
          <w:rFonts w:ascii="Arial" w:hAnsi="Arial" w:cs="Arial"/>
          <w:iCs/>
        </w:rPr>
        <w:t xml:space="preserve">Tel.: </w:t>
      </w:r>
      <w:r w:rsidR="00F35B73">
        <w:rPr>
          <w:rFonts w:ascii="Arial" w:hAnsi="Arial" w:cs="Arial"/>
          <w:iCs/>
        </w:rPr>
        <w:t>542 191</w:t>
      </w:r>
      <w:r w:rsidR="002D6A98">
        <w:rPr>
          <w:rFonts w:ascii="Arial" w:hAnsi="Arial" w:cs="Arial"/>
          <w:iCs/>
        </w:rPr>
        <w:t> </w:t>
      </w:r>
      <w:r w:rsidR="00F35B73">
        <w:rPr>
          <w:rFonts w:ascii="Arial" w:hAnsi="Arial" w:cs="Arial"/>
          <w:iCs/>
        </w:rPr>
        <w:t>111</w:t>
      </w:r>
    </w:p>
    <w:p w:rsidR="00222B9F" w:rsidRDefault="00222B9F" w:rsidP="00A23633">
      <w:pPr>
        <w:spacing w:after="0"/>
        <w:jc w:val="both"/>
        <w:rPr>
          <w:b/>
          <w:sz w:val="24"/>
          <w:szCs w:val="24"/>
        </w:rPr>
      </w:pPr>
    </w:p>
    <w:p w:rsidR="00356ACC" w:rsidRPr="00871E1F" w:rsidRDefault="009C2170" w:rsidP="009C2170">
      <w:pPr>
        <w:pStyle w:val="Normlnweb"/>
        <w:spacing w:before="0" w:beforeAutospacing="0" w:after="0" w:afterAutospacing="0"/>
        <w:jc w:val="both"/>
        <w:rPr>
          <w:rFonts w:ascii="Calibri" w:hAnsi="Calibri"/>
          <w:bCs/>
          <w:color w:val="C23048"/>
          <w:sz w:val="36"/>
          <w:szCs w:val="36"/>
        </w:rPr>
      </w:pPr>
      <w:r w:rsidRPr="00871E1F">
        <w:rPr>
          <w:rFonts w:ascii="Calibri" w:hAnsi="Calibri"/>
          <w:b/>
          <w:bCs/>
          <w:color w:val="C23048"/>
          <w:sz w:val="36"/>
          <w:szCs w:val="36"/>
        </w:rPr>
        <w:t xml:space="preserve">Rozšířené úřední hodiny pro vyzvednutí autentizačních údajů k evidenci tržeb </w:t>
      </w:r>
      <w:r w:rsidR="00356ACC" w:rsidRPr="00871E1F">
        <w:rPr>
          <w:rFonts w:ascii="Calibri" w:hAnsi="Calibri"/>
          <w:bCs/>
          <w:color w:val="C23048"/>
          <w:sz w:val="36"/>
          <w:szCs w:val="36"/>
        </w:rPr>
        <w:t>(tisková zpráva)</w:t>
      </w:r>
    </w:p>
    <w:p w:rsidR="009C2170" w:rsidRPr="000B2D98" w:rsidRDefault="009C2170" w:rsidP="009C2170">
      <w:pPr>
        <w:jc w:val="both"/>
        <w:rPr>
          <w:rFonts w:ascii="Calibri" w:hAnsi="Calibri"/>
          <w:b/>
          <w:bCs/>
          <w:sz w:val="10"/>
        </w:rPr>
      </w:pPr>
    </w:p>
    <w:p w:rsidR="00D955DD" w:rsidRDefault="00D955DD" w:rsidP="00D955DD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2. fáze elektronické</w:t>
      </w:r>
      <w:r w:rsidR="009C2170" w:rsidRPr="009C2170">
        <w:rPr>
          <w:rFonts w:ascii="Calibri" w:hAnsi="Calibri"/>
          <w:b/>
          <w:bCs/>
        </w:rPr>
        <w:t xml:space="preserve"> evidence tržeb startuje </w:t>
      </w:r>
      <w:r>
        <w:rPr>
          <w:rFonts w:ascii="Calibri" w:hAnsi="Calibri"/>
          <w:b/>
          <w:bCs/>
        </w:rPr>
        <w:t>již 1. března</w:t>
      </w:r>
      <w:r w:rsidR="009C2170" w:rsidRPr="000B2D98">
        <w:rPr>
          <w:rFonts w:ascii="Calibri" w:hAnsi="Calibri"/>
          <w:b/>
          <w:bCs/>
        </w:rPr>
        <w:t xml:space="preserve">! Rozšiřujeme proto úřední hodiny v termínu </w:t>
      </w:r>
      <w:r w:rsidRPr="000B2D98">
        <w:rPr>
          <w:rFonts w:ascii="Calibri" w:hAnsi="Calibri"/>
          <w:b/>
          <w:bCs/>
        </w:rPr>
        <w:t>od 13. do 28. února 2017 vždy od pondělí do čtvrtka od 8:00</w:t>
      </w:r>
      <w:r w:rsidRPr="00D955DD">
        <w:rPr>
          <w:rFonts w:ascii="Calibri" w:hAnsi="Calibri"/>
          <w:b/>
          <w:bCs/>
        </w:rPr>
        <w:t xml:space="preserve"> hodin do 17:00 hodin, v pátek od 8:00 hodin do 15:00 hodin.</w:t>
      </w:r>
    </w:p>
    <w:p w:rsidR="00871E1F" w:rsidRPr="000B2D98" w:rsidRDefault="00871E1F" w:rsidP="00871E1F">
      <w:pPr>
        <w:jc w:val="both"/>
        <w:rPr>
          <w:rFonts w:ascii="Calibri" w:hAnsi="Calibri"/>
          <w:bCs/>
        </w:rPr>
      </w:pPr>
      <w:r w:rsidRPr="000B2D98">
        <w:rPr>
          <w:rFonts w:ascii="Calibri" w:hAnsi="Calibri"/>
          <w:bCs/>
        </w:rPr>
        <w:t xml:space="preserve">Druhá fáze evidence tržeb se týká především </w:t>
      </w:r>
      <w:r w:rsidRPr="000B2D98">
        <w:rPr>
          <w:rFonts w:ascii="Calibri" w:hAnsi="Calibri"/>
          <w:b/>
          <w:bCs/>
        </w:rPr>
        <w:t>maloobchodu a velkoobchodu</w:t>
      </w:r>
      <w:r w:rsidRPr="000B2D98">
        <w:rPr>
          <w:rFonts w:ascii="Calibri" w:hAnsi="Calibri"/>
          <w:bCs/>
        </w:rPr>
        <w:t xml:space="preserve">. Jde tedy přeprodej zboží (nákup a prodej bez dalšího zpracování), včetně zprostředkování obchodu (např. činnost obchodních zástupců), nepatří sem však prodej vlastního zboží (např. firemní prodejny). Povinnost evidovat tržby tak budou mít </w:t>
      </w:r>
      <w:r w:rsidRPr="000B2D98">
        <w:rPr>
          <w:rFonts w:ascii="Calibri" w:hAnsi="Calibri"/>
          <w:b/>
          <w:bCs/>
        </w:rPr>
        <w:t>velkoobchody, obchodní domy, prodejny, stánky, bazary, trhy, e-shopy a jiný zásilkový prodej, pojízdné prodejny, komisní prodej, podomní prodej a další</w:t>
      </w:r>
      <w:r w:rsidRPr="000B2D98">
        <w:rPr>
          <w:rFonts w:ascii="Calibri" w:hAnsi="Calibri"/>
          <w:bCs/>
        </w:rPr>
        <w:t>.</w:t>
      </w:r>
    </w:p>
    <w:p w:rsidR="00E07175" w:rsidRPr="000B2D98" w:rsidRDefault="00E07175" w:rsidP="00E07175">
      <w:pPr>
        <w:jc w:val="both"/>
        <w:rPr>
          <w:rFonts w:ascii="Calibri" w:hAnsi="Calibri"/>
          <w:bCs/>
        </w:rPr>
      </w:pPr>
      <w:r w:rsidRPr="000B2D98">
        <w:rPr>
          <w:rFonts w:ascii="Calibri" w:hAnsi="Calibri"/>
          <w:bCs/>
        </w:rPr>
        <w:t>Autentizační údaje si v celé republice prozatím nevyzvedlo téměř 200 tisíc podnikatelů. Vzhledem k blížícímu se termínu startu druhé fáze evidence tržeb</w:t>
      </w:r>
      <w:r w:rsidR="000B2D98">
        <w:rPr>
          <w:rFonts w:ascii="Calibri" w:hAnsi="Calibri"/>
          <w:bCs/>
        </w:rPr>
        <w:t xml:space="preserve"> se</w:t>
      </w:r>
      <w:r w:rsidRPr="000B2D98">
        <w:rPr>
          <w:rFonts w:ascii="Calibri" w:hAnsi="Calibri"/>
          <w:bCs/>
        </w:rPr>
        <w:t xml:space="preserve"> rozhodla Finanční správa prodloužením pracovních hodin usnadnit podnikatelům jejich získání na územních pracovištích finančních úřadů. </w:t>
      </w:r>
    </w:p>
    <w:p w:rsidR="009C2170" w:rsidRPr="009C2170" w:rsidRDefault="009C2170" w:rsidP="009C2170">
      <w:pPr>
        <w:jc w:val="both"/>
        <w:rPr>
          <w:rFonts w:ascii="Calibri" w:hAnsi="Calibri"/>
          <w:bCs/>
        </w:rPr>
      </w:pPr>
      <w:r w:rsidRPr="009C2170">
        <w:rPr>
          <w:rFonts w:ascii="Calibri" w:hAnsi="Calibri"/>
          <w:bCs/>
        </w:rPr>
        <w:t xml:space="preserve">Žádost o autentizační údaje lze podat také elektronicky prostřednictvím Daňového portálu </w:t>
      </w:r>
      <w:hyperlink r:id="rId9" w:history="1">
        <w:r w:rsidRPr="009C2170">
          <w:rPr>
            <w:rStyle w:val="Hypertextovodkaz"/>
            <w:rFonts w:ascii="Calibri" w:hAnsi="Calibri"/>
            <w:bCs/>
          </w:rPr>
          <w:t>zde</w:t>
        </w:r>
      </w:hyperlink>
      <w:r w:rsidRPr="009C2170">
        <w:rPr>
          <w:rFonts w:ascii="Calibri" w:hAnsi="Calibri"/>
          <w:bCs/>
        </w:rPr>
        <w:t xml:space="preserve"> s využitím přihlašovacích údajů do datové schránky (tj. s ověřenou identitou osoby způsobem, kterým se lze přihlásit do její datové schránky). </w:t>
      </w:r>
    </w:p>
    <w:p w:rsidR="009C2170" w:rsidRDefault="009C2170" w:rsidP="009C2170">
      <w:pPr>
        <w:jc w:val="both"/>
        <w:rPr>
          <w:rFonts w:ascii="Calibri" w:hAnsi="Calibri"/>
          <w:bCs/>
        </w:rPr>
      </w:pPr>
      <w:r w:rsidRPr="009C2170">
        <w:rPr>
          <w:rFonts w:ascii="Calibri" w:hAnsi="Calibri"/>
          <w:bCs/>
        </w:rPr>
        <w:t xml:space="preserve">K úspěšnému zapojení do evidence tržeb musí podnikatelé po získání autentizačních údajů učinit další kroky (zaevidovat provozovny, získat certifikát a zejména zprovoznit pokladní zařízení). Finanční správa proto nedoporučuje odkládat získání autentizačních údajů na poslední </w:t>
      </w:r>
      <w:r w:rsidR="00D955DD">
        <w:rPr>
          <w:rFonts w:ascii="Calibri" w:hAnsi="Calibri"/>
          <w:bCs/>
        </w:rPr>
        <w:t>únorové dny</w:t>
      </w:r>
      <w:r w:rsidRPr="009C2170">
        <w:rPr>
          <w:rFonts w:ascii="Calibri" w:hAnsi="Calibri"/>
          <w:bCs/>
        </w:rPr>
        <w:t>, protože pro podnikatele po</w:t>
      </w:r>
      <w:r w:rsidR="00D955DD">
        <w:rPr>
          <w:rFonts w:ascii="Calibri" w:hAnsi="Calibri"/>
          <w:bCs/>
        </w:rPr>
        <w:t>vinně evidujícího od 1. března</w:t>
      </w:r>
      <w:r w:rsidRPr="009C2170">
        <w:rPr>
          <w:rFonts w:ascii="Calibri" w:hAnsi="Calibri"/>
          <w:bCs/>
        </w:rPr>
        <w:t xml:space="preserve"> pak může být velmi obtížné, až nemožné, být k tomuto d</w:t>
      </w:r>
      <w:r w:rsidR="00D955DD">
        <w:rPr>
          <w:rFonts w:ascii="Calibri" w:hAnsi="Calibri"/>
          <w:bCs/>
        </w:rPr>
        <w:t>atu plně připraven na evidenci.</w:t>
      </w:r>
    </w:p>
    <w:p w:rsidR="009C2170" w:rsidRPr="009C2170" w:rsidRDefault="00BA083B" w:rsidP="009C2170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Veškeré podrobnosti k evidenci tržeb včetně kontaktního formuláře pro technické dotazy jsou k nalezení na webu </w:t>
      </w:r>
      <w:hyperlink r:id="rId10" w:history="1">
        <w:r w:rsidR="009C2170" w:rsidRPr="00AE59EF">
          <w:rPr>
            <w:rStyle w:val="Hypertextovodkaz"/>
            <w:rFonts w:ascii="Calibri" w:hAnsi="Calibri"/>
            <w:b/>
            <w:bCs/>
          </w:rPr>
          <w:t>www.etrzby.cz</w:t>
        </w:r>
      </w:hyperlink>
      <w:r w:rsidR="009C2170">
        <w:rPr>
          <w:rFonts w:ascii="Calibri" w:hAnsi="Calibri"/>
          <w:bCs/>
        </w:rPr>
        <w:t>, v</w:t>
      </w:r>
      <w:r w:rsidR="009C2170" w:rsidRPr="009C2170">
        <w:rPr>
          <w:rFonts w:ascii="Calibri" w:hAnsi="Calibri"/>
          <w:bCs/>
        </w:rPr>
        <w:t xml:space="preserve">elmi užitečný souhrn nejčastějších dotazů a odpovědí naleznete </w:t>
      </w:r>
      <w:r w:rsidR="009C2170">
        <w:rPr>
          <w:rFonts w:ascii="Calibri" w:hAnsi="Calibri"/>
          <w:bCs/>
        </w:rPr>
        <w:t>na</w:t>
      </w:r>
      <w:r w:rsidR="009C2170" w:rsidRPr="009C2170">
        <w:rPr>
          <w:rFonts w:ascii="Calibri" w:hAnsi="Calibri"/>
          <w:bCs/>
        </w:rPr>
        <w:t xml:space="preserve"> </w:t>
      </w:r>
      <w:hyperlink r:id="rId11" w:history="1">
        <w:r w:rsidR="009C2170" w:rsidRPr="009C2170">
          <w:rPr>
            <w:rStyle w:val="Hypertextovodkaz"/>
            <w:rFonts w:ascii="Calibri" w:hAnsi="Calibri"/>
            <w:b/>
            <w:bCs/>
          </w:rPr>
          <w:t>http://www.etrzby.cz/cs/nejcastejsi-dotazy-podnikatelu</w:t>
        </w:r>
      </w:hyperlink>
      <w:r w:rsidR="009C2170" w:rsidRPr="009C2170">
        <w:rPr>
          <w:rFonts w:ascii="Calibri" w:hAnsi="Calibri"/>
          <w:bCs/>
        </w:rPr>
        <w:t>.</w:t>
      </w:r>
    </w:p>
    <w:p w:rsidR="00C8760A" w:rsidRDefault="00322904" w:rsidP="000B2D98">
      <w:pPr>
        <w:pStyle w:val="Normln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2349500" cy="836602"/>
            <wp:effectExtent l="171450" t="171450" r="374650" b="36385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28" cy="8383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C2170" w:rsidRDefault="0047516E" w:rsidP="000B2D98">
      <w:pPr>
        <w:pStyle w:val="Normlnweb"/>
        <w:spacing w:before="0" w:beforeAutospacing="0" w:after="0" w:afterAutospacing="0"/>
        <w:rPr>
          <w:rFonts w:ascii="Calibri" w:hAnsi="Calibri"/>
          <w:sz w:val="20"/>
        </w:rPr>
        <w:sectPr w:rsidR="009C2170" w:rsidSect="000B2D98">
          <w:headerReference w:type="default" r:id="rId13"/>
          <w:pgSz w:w="11906" w:h="16838"/>
          <w:pgMar w:top="2552" w:right="1274" w:bottom="284" w:left="1417" w:header="708" w:footer="708" w:gutter="0"/>
          <w:cols w:space="708"/>
          <w:docGrid w:linePitch="360"/>
        </w:sectPr>
      </w:pPr>
      <w:r>
        <w:rPr>
          <w:rFonts w:ascii="Calibri" w:hAnsi="Calibri"/>
          <w:sz w:val="20"/>
        </w:rPr>
        <w:t>8. února</w:t>
      </w:r>
      <w:r w:rsidR="00356ACC" w:rsidRPr="00322904">
        <w:rPr>
          <w:rFonts w:ascii="Calibri" w:hAnsi="Calibri"/>
          <w:sz w:val="20"/>
        </w:rPr>
        <w:t xml:space="preserve"> 201</w:t>
      </w:r>
      <w:r>
        <w:rPr>
          <w:rFonts w:ascii="Calibri" w:hAnsi="Calibri"/>
          <w:sz w:val="20"/>
        </w:rPr>
        <w:t>7</w:t>
      </w:r>
    </w:p>
    <w:p w:rsidR="009C2170" w:rsidRPr="00911D3D" w:rsidRDefault="009C2170" w:rsidP="000B2D9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</w:rPr>
      </w:pPr>
    </w:p>
    <w:p w:rsidR="00871E1F" w:rsidRPr="00911D3D" w:rsidRDefault="00F35B73" w:rsidP="000B2D98">
      <w:pPr>
        <w:pStyle w:val="Normlnweb"/>
        <w:spacing w:before="0" w:beforeAutospacing="0" w:after="0" w:afterAutospacing="0"/>
        <w:rPr>
          <w:rStyle w:val="Hypertextovodkaz"/>
          <w:rFonts w:asciiTheme="minorHAnsi" w:hAnsiTheme="minorHAnsi" w:cstheme="minorHAnsi"/>
          <w:sz w:val="22"/>
          <w:szCs w:val="22"/>
        </w:rPr>
      </w:pPr>
      <w:r w:rsidRPr="00911D3D">
        <w:rPr>
          <w:rFonts w:asciiTheme="minorHAnsi" w:hAnsiTheme="minorHAnsi" w:cstheme="minorHAnsi"/>
          <w:sz w:val="22"/>
          <w:szCs w:val="22"/>
        </w:rPr>
        <w:t>JUD</w:t>
      </w:r>
      <w:r w:rsidR="00563388" w:rsidRPr="00911D3D">
        <w:rPr>
          <w:rFonts w:asciiTheme="minorHAnsi" w:hAnsiTheme="minorHAnsi" w:cstheme="minorHAnsi"/>
          <w:sz w:val="22"/>
          <w:szCs w:val="22"/>
        </w:rPr>
        <w:t>r. David Stančík</w:t>
      </w:r>
      <w:r w:rsidR="00563388" w:rsidRPr="00911D3D">
        <w:rPr>
          <w:rFonts w:asciiTheme="minorHAnsi" w:hAnsiTheme="minorHAnsi" w:cstheme="minorHAnsi"/>
          <w:sz w:val="22"/>
          <w:szCs w:val="22"/>
        </w:rPr>
        <w:br/>
      </w:r>
      <w:r w:rsidR="009C2170" w:rsidRPr="00911D3D">
        <w:rPr>
          <w:rFonts w:asciiTheme="minorHAnsi" w:hAnsiTheme="minorHAnsi" w:cstheme="minorHAnsi"/>
          <w:sz w:val="22"/>
          <w:szCs w:val="22"/>
        </w:rPr>
        <w:t>zástupce ředitele finančního úřadu</w:t>
      </w:r>
    </w:p>
    <w:p w:rsidR="009C2170" w:rsidRDefault="009C2170" w:rsidP="000B2D9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B2D98" w:rsidRPr="00911D3D" w:rsidRDefault="000B2D98" w:rsidP="000B2D9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9C2170" w:rsidRPr="00911D3D" w:rsidRDefault="009C2170" w:rsidP="000B2D9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D3D">
        <w:rPr>
          <w:rFonts w:asciiTheme="minorHAnsi" w:hAnsiTheme="minorHAnsi" w:cstheme="minorHAnsi"/>
          <w:sz w:val="22"/>
          <w:szCs w:val="22"/>
        </w:rPr>
        <w:t xml:space="preserve">twitter: </w:t>
      </w:r>
      <w:hyperlink r:id="rId14" w:history="1">
        <w:r w:rsidRPr="00911D3D">
          <w:rPr>
            <w:rStyle w:val="Hypertextovodkaz"/>
            <w:rFonts w:asciiTheme="minorHAnsi" w:hAnsiTheme="minorHAnsi" w:cstheme="minorHAnsi"/>
            <w:sz w:val="22"/>
            <w:szCs w:val="22"/>
          </w:rPr>
          <w:t>@fu_jmk</w:t>
        </w:r>
      </w:hyperlink>
      <w:r w:rsidRPr="00911D3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C2170" w:rsidRPr="00911D3D" w:rsidRDefault="009C2170" w:rsidP="000B2D9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D3D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5" w:history="1">
        <w:r w:rsidRPr="00911D3D">
          <w:rPr>
            <w:rStyle w:val="Hypertextovodkaz"/>
            <w:rFonts w:asciiTheme="minorHAnsi" w:hAnsiTheme="minorHAnsi" w:cstheme="minorHAnsi"/>
            <w:sz w:val="22"/>
            <w:szCs w:val="22"/>
          </w:rPr>
          <w:t>david.stancik@fs.mfcr.cz</w:t>
        </w:r>
      </w:hyperlink>
    </w:p>
    <w:sectPr w:rsidR="009C2170" w:rsidRPr="00911D3D" w:rsidSect="009C2170">
      <w:type w:val="continuous"/>
      <w:pgSz w:w="11906" w:h="16838"/>
      <w:pgMar w:top="2694" w:right="1274" w:bottom="426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2BD" w:rsidRDefault="009432BD" w:rsidP="00A44ED9">
      <w:pPr>
        <w:spacing w:after="0" w:line="240" w:lineRule="auto"/>
      </w:pPr>
      <w:r>
        <w:separator/>
      </w:r>
    </w:p>
  </w:endnote>
  <w:endnote w:type="continuationSeparator" w:id="0">
    <w:p w:rsidR="009432BD" w:rsidRDefault="009432BD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2BD" w:rsidRDefault="009432BD" w:rsidP="00A44ED9">
      <w:pPr>
        <w:spacing w:after="0" w:line="240" w:lineRule="auto"/>
      </w:pPr>
      <w:r>
        <w:separator/>
      </w:r>
    </w:p>
  </w:footnote>
  <w:footnote w:type="continuationSeparator" w:id="0">
    <w:p w:rsidR="009432BD" w:rsidRDefault="009432BD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D57" w:rsidRDefault="00755E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324D72F" wp14:editId="17600B74">
          <wp:simplePos x="0" y="0"/>
          <wp:positionH relativeFrom="column">
            <wp:posOffset>-972876</wp:posOffset>
          </wp:positionH>
          <wp:positionV relativeFrom="paragraph">
            <wp:posOffset>-219075</wp:posOffset>
          </wp:positionV>
          <wp:extent cx="7722990" cy="1286189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2990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4D57" w:rsidRDefault="006A4D57">
    <w:pPr>
      <w:pStyle w:val="Zhlav"/>
    </w:pPr>
  </w:p>
  <w:p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D9"/>
    <w:rsid w:val="000019B1"/>
    <w:rsid w:val="000034C6"/>
    <w:rsid w:val="00036556"/>
    <w:rsid w:val="00041D49"/>
    <w:rsid w:val="0007392F"/>
    <w:rsid w:val="00095605"/>
    <w:rsid w:val="000A3A20"/>
    <w:rsid w:val="000B2D98"/>
    <w:rsid w:val="000C2E57"/>
    <w:rsid w:val="000C6921"/>
    <w:rsid w:val="00124940"/>
    <w:rsid w:val="00127ADC"/>
    <w:rsid w:val="00127F36"/>
    <w:rsid w:val="00137D37"/>
    <w:rsid w:val="00167CB6"/>
    <w:rsid w:val="00173981"/>
    <w:rsid w:val="00177455"/>
    <w:rsid w:val="00197FA0"/>
    <w:rsid w:val="001C3C8C"/>
    <w:rsid w:val="001D615A"/>
    <w:rsid w:val="001F3232"/>
    <w:rsid w:val="002015D2"/>
    <w:rsid w:val="00206399"/>
    <w:rsid w:val="00221773"/>
    <w:rsid w:val="00222B9F"/>
    <w:rsid w:val="002279E1"/>
    <w:rsid w:val="00234775"/>
    <w:rsid w:val="0023481C"/>
    <w:rsid w:val="00236496"/>
    <w:rsid w:val="002709DE"/>
    <w:rsid w:val="00283086"/>
    <w:rsid w:val="00296AEE"/>
    <w:rsid w:val="00297FCE"/>
    <w:rsid w:val="002B643F"/>
    <w:rsid w:val="002C3537"/>
    <w:rsid w:val="002D6A98"/>
    <w:rsid w:val="002E3898"/>
    <w:rsid w:val="002E6C2B"/>
    <w:rsid w:val="002F15A0"/>
    <w:rsid w:val="003102F4"/>
    <w:rsid w:val="00316B2E"/>
    <w:rsid w:val="00317706"/>
    <w:rsid w:val="00322904"/>
    <w:rsid w:val="00356ACC"/>
    <w:rsid w:val="00371F14"/>
    <w:rsid w:val="003738E2"/>
    <w:rsid w:val="003964F7"/>
    <w:rsid w:val="003A3CA9"/>
    <w:rsid w:val="003C1ED9"/>
    <w:rsid w:val="00401E27"/>
    <w:rsid w:val="00420A57"/>
    <w:rsid w:val="004324F8"/>
    <w:rsid w:val="0047347D"/>
    <w:rsid w:val="0047516E"/>
    <w:rsid w:val="00477A5E"/>
    <w:rsid w:val="00496750"/>
    <w:rsid w:val="004B6BA4"/>
    <w:rsid w:val="004C094F"/>
    <w:rsid w:val="004C3000"/>
    <w:rsid w:val="004D3786"/>
    <w:rsid w:val="004E5FDB"/>
    <w:rsid w:val="005117FD"/>
    <w:rsid w:val="0054766B"/>
    <w:rsid w:val="00563388"/>
    <w:rsid w:val="00591181"/>
    <w:rsid w:val="005A1C8C"/>
    <w:rsid w:val="005E780A"/>
    <w:rsid w:val="005F1F28"/>
    <w:rsid w:val="00604C08"/>
    <w:rsid w:val="006108D5"/>
    <w:rsid w:val="0063471B"/>
    <w:rsid w:val="00660596"/>
    <w:rsid w:val="00661F87"/>
    <w:rsid w:val="00680314"/>
    <w:rsid w:val="00685628"/>
    <w:rsid w:val="006A4D57"/>
    <w:rsid w:val="006B6FB8"/>
    <w:rsid w:val="006E5CDC"/>
    <w:rsid w:val="006F798C"/>
    <w:rsid w:val="007055CD"/>
    <w:rsid w:val="00705C25"/>
    <w:rsid w:val="00721BDF"/>
    <w:rsid w:val="00743D76"/>
    <w:rsid w:val="00755E89"/>
    <w:rsid w:val="007570C8"/>
    <w:rsid w:val="00764B7F"/>
    <w:rsid w:val="00773ECF"/>
    <w:rsid w:val="007A1E1A"/>
    <w:rsid w:val="007A6C74"/>
    <w:rsid w:val="007A73F1"/>
    <w:rsid w:val="007B4B64"/>
    <w:rsid w:val="007D080C"/>
    <w:rsid w:val="007E004A"/>
    <w:rsid w:val="00827A76"/>
    <w:rsid w:val="008458C4"/>
    <w:rsid w:val="00850F63"/>
    <w:rsid w:val="00857471"/>
    <w:rsid w:val="00871E1F"/>
    <w:rsid w:val="00871F66"/>
    <w:rsid w:val="008B5078"/>
    <w:rsid w:val="00911D3D"/>
    <w:rsid w:val="00923D62"/>
    <w:rsid w:val="00925DD5"/>
    <w:rsid w:val="009432BD"/>
    <w:rsid w:val="009538B0"/>
    <w:rsid w:val="00981066"/>
    <w:rsid w:val="00984027"/>
    <w:rsid w:val="00992998"/>
    <w:rsid w:val="00993A21"/>
    <w:rsid w:val="009C2170"/>
    <w:rsid w:val="009D1F0D"/>
    <w:rsid w:val="00A23633"/>
    <w:rsid w:val="00A243A6"/>
    <w:rsid w:val="00A44998"/>
    <w:rsid w:val="00A44ED9"/>
    <w:rsid w:val="00A50C45"/>
    <w:rsid w:val="00A531B7"/>
    <w:rsid w:val="00A61E5F"/>
    <w:rsid w:val="00AA4F6A"/>
    <w:rsid w:val="00AB6599"/>
    <w:rsid w:val="00AE046F"/>
    <w:rsid w:val="00B31FC9"/>
    <w:rsid w:val="00B37DFC"/>
    <w:rsid w:val="00B51844"/>
    <w:rsid w:val="00B565D1"/>
    <w:rsid w:val="00B61A58"/>
    <w:rsid w:val="00B8095D"/>
    <w:rsid w:val="00B8406A"/>
    <w:rsid w:val="00BA083B"/>
    <w:rsid w:val="00BA3030"/>
    <w:rsid w:val="00BB3E46"/>
    <w:rsid w:val="00BC2F1A"/>
    <w:rsid w:val="00C31F31"/>
    <w:rsid w:val="00C37885"/>
    <w:rsid w:val="00C674C5"/>
    <w:rsid w:val="00C8760A"/>
    <w:rsid w:val="00CD1AC2"/>
    <w:rsid w:val="00CD4784"/>
    <w:rsid w:val="00CD5A24"/>
    <w:rsid w:val="00CE2E85"/>
    <w:rsid w:val="00D00D77"/>
    <w:rsid w:val="00D30B17"/>
    <w:rsid w:val="00D36C29"/>
    <w:rsid w:val="00D37861"/>
    <w:rsid w:val="00D540FC"/>
    <w:rsid w:val="00D949D9"/>
    <w:rsid w:val="00D955DD"/>
    <w:rsid w:val="00DA1B1D"/>
    <w:rsid w:val="00DA2F4F"/>
    <w:rsid w:val="00DB5C12"/>
    <w:rsid w:val="00DB6709"/>
    <w:rsid w:val="00DB6E06"/>
    <w:rsid w:val="00DE375F"/>
    <w:rsid w:val="00E07175"/>
    <w:rsid w:val="00E64169"/>
    <w:rsid w:val="00E67E40"/>
    <w:rsid w:val="00E779A9"/>
    <w:rsid w:val="00EA16F0"/>
    <w:rsid w:val="00EB3F87"/>
    <w:rsid w:val="00EE378F"/>
    <w:rsid w:val="00EF387F"/>
    <w:rsid w:val="00F35B73"/>
    <w:rsid w:val="00F42E24"/>
    <w:rsid w:val="00F56090"/>
    <w:rsid w:val="00F87E26"/>
    <w:rsid w:val="00F97A45"/>
    <w:rsid w:val="00FA456E"/>
    <w:rsid w:val="00FA696B"/>
    <w:rsid w:val="00FB131C"/>
    <w:rsid w:val="00FB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5B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7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5B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7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29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2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7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trzby.cz/cs/nejcastejsi-dotazy-podnikatel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avid.stancik@fs.mfcr.cz" TargetMode="External"/><Relationship Id="rId10" Type="http://schemas.openxmlformats.org/officeDocument/2006/relationships/hyperlink" Target="http://www.etrzb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isepo.mfcr.cz/adistc/adis/idpr_pub/eet/eet_sluzby.faces" TargetMode="External"/><Relationship Id="rId14" Type="http://schemas.openxmlformats.org/officeDocument/2006/relationships/hyperlink" Target="https://twitter.com/fu_j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37215-BCBC-4BA2-9858-2356D473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Stančík David JUDr. (FÚ pro Jihomoravský kraj)</cp:lastModifiedBy>
  <cp:revision>6</cp:revision>
  <cp:lastPrinted>2016-08-01T04:43:00Z</cp:lastPrinted>
  <dcterms:created xsi:type="dcterms:W3CDTF">2017-02-02T08:44:00Z</dcterms:created>
  <dcterms:modified xsi:type="dcterms:W3CDTF">2017-02-02T08:55:00Z</dcterms:modified>
</cp:coreProperties>
</file>